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41EB">
      <w:pPr>
        <w:tabs>
          <w:tab w:val="left" w:pos="560"/>
          <w:tab w:val="center" w:pos="4535"/>
        </w:tabs>
        <w:autoSpaceDE/>
        <w:autoSpaceDN/>
        <w:snapToGrid w:val="0"/>
        <w:spacing w:before="0" w:after="0" w:line="240" w:lineRule="auto"/>
        <w:ind w:left="0" w:right="0"/>
        <w:jc w:val="left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Calibri" w:eastAsia="黑体" w:cs="Times New Roman"/>
          <w:color w:val="auto"/>
          <w:kern w:val="2"/>
          <w:sz w:val="30"/>
          <w:szCs w:val="30"/>
          <w:lang w:val="en-US" w:eastAsia="zh-CN" w:bidi="ar-SA"/>
        </w:rPr>
        <w:t>附件5</w:t>
      </w:r>
    </w:p>
    <w:p w14:paraId="07D8DFE0">
      <w:pPr>
        <w:jc w:val="center"/>
        <w:rPr>
          <w:rFonts w:ascii="黑体" w:eastAsia="黑体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auto"/>
          <w:kern w:val="2"/>
          <w:sz w:val="32"/>
          <w:szCs w:val="18"/>
          <w:lang w:val="en-US" w:eastAsia="zh-CN" w:bidi="ar-SA"/>
        </w:rPr>
        <w:t>商丘工学院教育教学成果奖评选标准（试行）</w:t>
      </w:r>
      <w:bookmarkEnd w:id="0"/>
    </w:p>
    <w:tbl>
      <w:tblPr>
        <w:tblStyle w:val="2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58"/>
        <w:gridCol w:w="7509"/>
        <w:gridCol w:w="598"/>
      </w:tblGrid>
      <w:tr w14:paraId="01BD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52FB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一级</w:t>
            </w:r>
          </w:p>
          <w:p w14:paraId="1265ACD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87BD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CC6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主要内涵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BA9A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满分</w:t>
            </w:r>
          </w:p>
        </w:tc>
      </w:tr>
      <w:tr w14:paraId="0EEE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6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250C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形式</w:t>
            </w:r>
          </w:p>
          <w:p w14:paraId="7DF8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2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  <w:p w14:paraId="73E26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成果名称与申报材料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成果名称准确、简明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反映出成果的主要内容和特征，能概括成果的属性和内涵。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</w:tr>
      <w:tr w14:paraId="04E0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8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经过两年以上教育教学实践。实践的起始时间，应从正式实施(包括正式试行)教育教学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的时间开始计算，不含研讨、论证及制定方案的时间。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94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申报材料齐全；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书填写规范，格式符合规定要求。凡涉及到该项成果实质内容的说明、论据及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实践效果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等，均应直接叙述。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E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7D4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E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4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  <w:p w14:paraId="5AA20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主要完成人及完成单位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主要完成人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直接参加成果的方案设计、论证、研究和实施全过程，并做出主要贡献的人员。一般不超过5人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5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</w:tr>
      <w:tr w14:paraId="1262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主要完成单位一般不超过3个。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A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14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3324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</w:t>
            </w:r>
          </w:p>
          <w:p w14:paraId="4EDA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内容</w:t>
            </w:r>
          </w:p>
          <w:p w14:paraId="70CEE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 </w:t>
            </w:r>
          </w:p>
          <w:p w14:paraId="6AFE1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内容的科学性及方向性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6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在转变教育思想和教育观念，改革人才培养模式、课程体系、教学内容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改进教学方法和教育技术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全面推进素质教育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提高教育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质量等方面具有较高价值；在组织教学工作、推动教学及教学管理改革，加强教学基本建设，开展质量保证与监控工作，实现教学管理现代化等方面有重要实效。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</w:tr>
      <w:tr w14:paraId="326B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B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成果体现教育教学规律，切实解决教育教学问题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；解决问题的方法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可推广性、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科学性和先进性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有一定的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教育理论基础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75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成果指导思想上符合国家的教育方针、政策、有关文件精神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具有先进性和导向性；与学校办学宗旨、层次、功能、目标定位等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具有高度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一致性。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7BB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6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 </w:t>
            </w:r>
          </w:p>
          <w:p w14:paraId="43E7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支撑条件及饱满程度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主要完成人建设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有校级及以上教学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工程项目等相关项目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支撑成果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F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</w:tr>
      <w:tr w14:paraId="531D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B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项目以正式发表、出版、结项、公布为准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未结项的仅作参考。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D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5A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2443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(15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 </w:t>
            </w:r>
          </w:p>
          <w:p w14:paraId="57A9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理论与实践创新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2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成果方案在设计、论证、制定和实施等方面有一定的理论和实践创新；或在推广、应用已有的教学成果方面有创新和发展。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</w:tr>
      <w:tr w14:paraId="6237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7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3214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</w:t>
            </w:r>
          </w:p>
          <w:p w14:paraId="373A5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情况(25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9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 </w:t>
            </w:r>
          </w:p>
          <w:p w14:paraId="0724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实施及推广应用成效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成果方案设计、论证、研究、实施过程及阶段性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管理方面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等具有规范性、完整性和延续性。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1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</w:tr>
      <w:tr w14:paraId="3FA3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0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7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成果推广应用范围广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学生受益情况好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培养成效显著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0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0C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A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成果实施实践过程中学生、教师、同行及社会对成果应用的评价、反馈意见和对成果推广应用的认可程度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较高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E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29222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预期前景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6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成果进一步拓展的空间较大，应用前景比较广阔。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A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</w:tr>
      <w:tr w14:paraId="72A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4C345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</w:t>
            </w:r>
          </w:p>
          <w:p w14:paraId="721D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水平(17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.1</w:t>
            </w:r>
          </w:p>
          <w:p w14:paraId="6C4F0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领先程度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1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在全校处于领先水平并产生一定影响，在教育教学改革方面有一定突破，对提高教学质量、实现培养目标有显著贡献。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</w:tr>
      <w:tr w14:paraId="4552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9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B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成果总结报告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水平或公开发表论文刊物的重要程度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高，且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在国内同行中的影响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D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0AA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E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.2</w:t>
            </w:r>
          </w:p>
          <w:p w14:paraId="37A2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项目认可程度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支撑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成果的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项目等级较高，具体可以分为国家级、省级、市局级、校级等。 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E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</w:tr>
      <w:tr w14:paraId="6D3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1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成果已获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省级及以上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奖励（不包括商业性的奖励）。</w:t>
            </w: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F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572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</w:t>
            </w:r>
          </w:p>
          <w:p w14:paraId="4C6CF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特色(1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6.1</w:t>
            </w:r>
          </w:p>
          <w:p w14:paraId="6601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项目特色</w:t>
            </w:r>
          </w:p>
        </w:tc>
        <w:tc>
          <w:tcPr>
            <w:tcW w:w="7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在教育教学及教学管理改革、教学手段革新、提高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教学质量、实现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人才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培养目标、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人才培养效益和社会经济文化建设贡献等方面具有突出的、为社会所认可的特色。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</w:tr>
    </w:tbl>
    <w:p w14:paraId="7825A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2026-04-07T02:00:46Z</dcterms:created>
  <dc:creator>sqgxy</dc:creator>
  <cp:lastModifiedBy>王丽芹·SUNNY小Q</cp:lastModifiedBy>
  <dcterms:modified xsi:type="dcterms:W3CDTF">2026-04-07T02:00:56Z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eyJoZGlkIjoiZDBmOWUxNGQ2NTc3ZWY5YzY2ZmRkNmJjNTMzMWFlZjkiLCJ1c2VySWQiOiI0NDQ4MzM2NjEifQ==</vt:lpwstr>
  </property>
  <property fmtid="{D5CDD505-2E9C-101B-9397-08002B2CF9AE}" pid="4" name="ICV">
    <vt:lpwstr>F611B849A9314346B84F97794CB389DF_12</vt:lpwstr>
  </property>
</Properties>
</file>