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7C5FA0">
      <w:pPr>
        <w:spacing w:before="100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46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1</w:t>
      </w:r>
    </w:p>
    <w:p w14:paraId="1B4AE735">
      <w:pPr>
        <w:spacing w:line="270" w:lineRule="auto"/>
        <w:rPr>
          <w:rFonts w:ascii="Arial"/>
          <w:sz w:val="21"/>
        </w:rPr>
      </w:pPr>
    </w:p>
    <w:p w14:paraId="65530428">
      <w:pPr>
        <w:spacing w:line="270" w:lineRule="auto"/>
        <w:rPr>
          <w:rFonts w:ascii="Arial"/>
          <w:sz w:val="21"/>
        </w:rPr>
      </w:pPr>
    </w:p>
    <w:p w14:paraId="5644EBEC">
      <w:pPr>
        <w:spacing w:before="166" w:line="360" w:lineRule="auto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r>
        <w:rPr>
          <w:rFonts w:ascii="方正小标宋简体" w:hAnsi="方正小标宋简体" w:eastAsia="方正小标宋简体" w:cs="方正小标宋简体"/>
          <w:spacing w:val="11"/>
          <w:sz w:val="40"/>
          <w:szCs w:val="40"/>
        </w:rPr>
        <w:t>河南省课程思政品牌专业建设指南</w:t>
      </w:r>
      <w:bookmarkEnd w:id="0"/>
      <w:r>
        <w:rPr>
          <w:rFonts w:ascii="方正小标宋简体" w:hAnsi="方正小标宋简体" w:eastAsia="方正小标宋简体" w:cs="方正小标宋简体"/>
          <w:spacing w:val="11"/>
          <w:sz w:val="40"/>
          <w:szCs w:val="40"/>
        </w:rPr>
        <w:t>（试行）</w:t>
      </w:r>
    </w:p>
    <w:tbl>
      <w:tblPr>
        <w:tblStyle w:val="6"/>
        <w:tblW w:w="9681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1720"/>
        <w:gridCol w:w="6476"/>
      </w:tblGrid>
      <w:tr w14:paraId="254EF0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485" w:type="dxa"/>
            <w:vAlign w:val="top"/>
          </w:tcPr>
          <w:p w14:paraId="37897AB4">
            <w:pPr>
              <w:spacing w:before="184" w:line="221" w:lineRule="auto"/>
              <w:ind w:left="27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一级指标</w:t>
            </w:r>
          </w:p>
        </w:tc>
        <w:tc>
          <w:tcPr>
            <w:tcW w:w="1720" w:type="dxa"/>
            <w:vAlign w:val="top"/>
          </w:tcPr>
          <w:p w14:paraId="783D7408">
            <w:pPr>
              <w:spacing w:before="184" w:line="221" w:lineRule="auto"/>
              <w:ind w:left="39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二级指标</w:t>
            </w:r>
          </w:p>
        </w:tc>
        <w:tc>
          <w:tcPr>
            <w:tcW w:w="6476" w:type="dxa"/>
            <w:vAlign w:val="top"/>
          </w:tcPr>
          <w:p w14:paraId="58852506">
            <w:pPr>
              <w:spacing w:before="184" w:line="223" w:lineRule="auto"/>
              <w:ind w:left="276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指标内涵</w:t>
            </w:r>
          </w:p>
        </w:tc>
      </w:tr>
      <w:tr w14:paraId="2FDA09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  <w:jc w:val="center"/>
        </w:trPr>
        <w:tc>
          <w:tcPr>
            <w:tcW w:w="1485" w:type="dxa"/>
            <w:vMerge w:val="restart"/>
            <w:tcBorders>
              <w:bottom w:val="nil"/>
            </w:tcBorders>
            <w:vAlign w:val="top"/>
          </w:tcPr>
          <w:p w14:paraId="5304EBF4">
            <w:pPr>
              <w:spacing w:line="257" w:lineRule="auto"/>
              <w:rPr>
                <w:rFonts w:ascii="Arial"/>
                <w:sz w:val="21"/>
              </w:rPr>
            </w:pPr>
          </w:p>
          <w:p w14:paraId="63D6CC08">
            <w:pPr>
              <w:spacing w:line="257" w:lineRule="auto"/>
              <w:rPr>
                <w:rFonts w:ascii="Arial"/>
                <w:sz w:val="21"/>
              </w:rPr>
            </w:pPr>
          </w:p>
          <w:p w14:paraId="3F0E70AB">
            <w:pPr>
              <w:spacing w:line="258" w:lineRule="auto"/>
              <w:rPr>
                <w:rFonts w:ascii="Arial"/>
                <w:sz w:val="21"/>
              </w:rPr>
            </w:pPr>
          </w:p>
          <w:p w14:paraId="7D059F85">
            <w:pPr>
              <w:spacing w:line="258" w:lineRule="auto"/>
              <w:rPr>
                <w:rFonts w:ascii="Arial"/>
                <w:sz w:val="21"/>
              </w:rPr>
            </w:pPr>
          </w:p>
          <w:p w14:paraId="58ACDD32">
            <w:pPr>
              <w:spacing w:line="258" w:lineRule="auto"/>
              <w:rPr>
                <w:rFonts w:ascii="Arial"/>
                <w:sz w:val="21"/>
              </w:rPr>
            </w:pPr>
          </w:p>
          <w:p w14:paraId="27A96D4B">
            <w:pPr>
              <w:spacing w:line="258" w:lineRule="auto"/>
              <w:rPr>
                <w:rFonts w:ascii="Arial"/>
                <w:sz w:val="21"/>
              </w:rPr>
            </w:pPr>
          </w:p>
          <w:p w14:paraId="06CF84E5">
            <w:pPr>
              <w:spacing w:line="258" w:lineRule="auto"/>
              <w:rPr>
                <w:rFonts w:ascii="Arial"/>
                <w:sz w:val="21"/>
              </w:rPr>
            </w:pPr>
          </w:p>
          <w:p w14:paraId="1014E2AF">
            <w:pPr>
              <w:spacing w:line="258" w:lineRule="auto"/>
              <w:rPr>
                <w:rFonts w:ascii="Arial"/>
                <w:sz w:val="21"/>
              </w:rPr>
            </w:pPr>
          </w:p>
          <w:p w14:paraId="5C230E8A">
            <w:pPr>
              <w:pStyle w:val="7"/>
              <w:spacing w:before="78" w:line="214" w:lineRule="auto"/>
              <w:ind w:left="165"/>
            </w:pPr>
            <w:r>
              <w:rPr>
                <w:spacing w:val="-4"/>
              </w:rPr>
              <w:t>1.培养方案</w:t>
            </w:r>
          </w:p>
        </w:tc>
        <w:tc>
          <w:tcPr>
            <w:tcW w:w="1720" w:type="dxa"/>
            <w:vAlign w:val="top"/>
          </w:tcPr>
          <w:p w14:paraId="18C70AE6">
            <w:pPr>
              <w:spacing w:line="244" w:lineRule="auto"/>
              <w:rPr>
                <w:rFonts w:ascii="Arial"/>
                <w:sz w:val="21"/>
              </w:rPr>
            </w:pPr>
          </w:p>
          <w:p w14:paraId="6BB9ACCF">
            <w:pPr>
              <w:spacing w:line="244" w:lineRule="auto"/>
              <w:rPr>
                <w:rFonts w:ascii="Arial"/>
                <w:sz w:val="21"/>
              </w:rPr>
            </w:pPr>
          </w:p>
          <w:p w14:paraId="7A1C33C7">
            <w:pPr>
              <w:pStyle w:val="7"/>
              <w:spacing w:before="78" w:line="214" w:lineRule="auto"/>
              <w:ind w:left="128"/>
            </w:pPr>
            <w:r>
              <w:rPr>
                <w:spacing w:val="-5"/>
              </w:rPr>
              <w:t>1.1</w:t>
            </w:r>
            <w:r>
              <w:rPr>
                <w:spacing w:val="-48"/>
              </w:rPr>
              <w:t xml:space="preserve"> </w:t>
            </w:r>
            <w:r>
              <w:rPr>
                <w:spacing w:val="-5"/>
              </w:rPr>
              <w:t>培养目标</w:t>
            </w:r>
          </w:p>
        </w:tc>
        <w:tc>
          <w:tcPr>
            <w:tcW w:w="6476" w:type="dxa"/>
            <w:vAlign w:val="top"/>
          </w:tcPr>
          <w:p w14:paraId="71120E9F">
            <w:pPr>
              <w:spacing w:line="332" w:lineRule="auto"/>
              <w:rPr>
                <w:rFonts w:ascii="Arial"/>
                <w:sz w:val="21"/>
              </w:rPr>
            </w:pPr>
          </w:p>
          <w:p w14:paraId="7A8CBA36">
            <w:pPr>
              <w:pStyle w:val="7"/>
              <w:spacing w:before="78"/>
              <w:ind w:left="141" w:right="97" w:hanging="20"/>
            </w:pPr>
            <w:r>
              <w:rPr>
                <w:spacing w:val="-1"/>
              </w:rPr>
              <w:t>结合专业特点，贯彻</w:t>
            </w:r>
            <w:r>
              <w:rPr>
                <w:spacing w:val="-35"/>
              </w:rPr>
              <w:t xml:space="preserve"> </w:t>
            </w:r>
            <w:r>
              <w:rPr>
                <w:spacing w:val="-1"/>
              </w:rPr>
              <w:t>OBE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理念，在人才培养目标、毕业要求中落实课程思政要求，构建科学合理的课程思政教学</w:t>
            </w:r>
            <w:r>
              <w:rPr>
                <w:spacing w:val="-2"/>
              </w:rPr>
              <w:t>体系。</w:t>
            </w:r>
          </w:p>
        </w:tc>
      </w:tr>
      <w:tr w14:paraId="5C32AC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1" w:hRule="atLeast"/>
          <w:jc w:val="center"/>
        </w:trPr>
        <w:tc>
          <w:tcPr>
            <w:tcW w:w="1485" w:type="dxa"/>
            <w:vMerge w:val="continue"/>
            <w:tcBorders>
              <w:top w:val="nil"/>
              <w:bottom w:val="nil"/>
            </w:tcBorders>
            <w:vAlign w:val="top"/>
          </w:tcPr>
          <w:p w14:paraId="6F7643E7">
            <w:pPr>
              <w:rPr>
                <w:rFonts w:ascii="Arial"/>
                <w:sz w:val="21"/>
              </w:rPr>
            </w:pPr>
          </w:p>
        </w:tc>
        <w:tc>
          <w:tcPr>
            <w:tcW w:w="1720" w:type="dxa"/>
            <w:vAlign w:val="top"/>
          </w:tcPr>
          <w:p w14:paraId="28B19F9B">
            <w:pPr>
              <w:spacing w:line="291" w:lineRule="auto"/>
              <w:rPr>
                <w:rFonts w:ascii="Arial"/>
                <w:sz w:val="21"/>
              </w:rPr>
            </w:pPr>
          </w:p>
          <w:p w14:paraId="3B61512D">
            <w:pPr>
              <w:spacing w:line="291" w:lineRule="auto"/>
              <w:rPr>
                <w:rFonts w:ascii="Arial"/>
                <w:sz w:val="21"/>
              </w:rPr>
            </w:pPr>
          </w:p>
          <w:p w14:paraId="7D7BB0CD">
            <w:pPr>
              <w:pStyle w:val="7"/>
              <w:spacing w:before="78" w:line="214" w:lineRule="auto"/>
              <w:ind w:left="128"/>
            </w:pPr>
            <w:r>
              <w:rPr>
                <w:spacing w:val="-5"/>
              </w:rPr>
              <w:t>1.2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课程体系</w:t>
            </w:r>
          </w:p>
        </w:tc>
        <w:tc>
          <w:tcPr>
            <w:tcW w:w="6476" w:type="dxa"/>
            <w:vAlign w:val="top"/>
          </w:tcPr>
          <w:p w14:paraId="0F8983F4">
            <w:pPr>
              <w:spacing w:line="274" w:lineRule="auto"/>
              <w:rPr>
                <w:rFonts w:ascii="Arial"/>
                <w:sz w:val="21"/>
              </w:rPr>
            </w:pPr>
          </w:p>
          <w:p w14:paraId="2B7FA0E8">
            <w:pPr>
              <w:pStyle w:val="7"/>
              <w:spacing w:before="78"/>
              <w:ind w:left="123" w:right="32" w:hanging="10"/>
              <w:jc w:val="both"/>
            </w:pPr>
            <w:r>
              <w:rPr>
                <w:spacing w:val="-6"/>
              </w:rPr>
              <w:t>课程体系设计科学合理，符合学科专业和课程思政教育规律，</w:t>
            </w:r>
            <w:r>
              <w:t>坚持知识传授、能力培养和价值引领相统一，建立人才培养</w:t>
            </w:r>
            <w:r>
              <w:rPr>
                <w:spacing w:val="-7"/>
              </w:rPr>
              <w:t>目标、毕业要求与课程目标（思政目标）的支撑、映射关系。</w:t>
            </w:r>
          </w:p>
        </w:tc>
      </w:tr>
      <w:tr w14:paraId="1539A7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5" w:hRule="atLeast"/>
          <w:jc w:val="center"/>
        </w:trPr>
        <w:tc>
          <w:tcPr>
            <w:tcW w:w="1485" w:type="dxa"/>
            <w:vMerge w:val="continue"/>
            <w:tcBorders>
              <w:top w:val="nil"/>
            </w:tcBorders>
            <w:vAlign w:val="top"/>
          </w:tcPr>
          <w:p w14:paraId="2CD02E54">
            <w:pPr>
              <w:rPr>
                <w:rFonts w:ascii="Arial"/>
                <w:sz w:val="21"/>
              </w:rPr>
            </w:pPr>
          </w:p>
        </w:tc>
        <w:tc>
          <w:tcPr>
            <w:tcW w:w="1720" w:type="dxa"/>
            <w:vAlign w:val="top"/>
          </w:tcPr>
          <w:p w14:paraId="736395EA">
            <w:pPr>
              <w:spacing w:line="295" w:lineRule="auto"/>
              <w:rPr>
                <w:rFonts w:ascii="Arial"/>
                <w:sz w:val="21"/>
              </w:rPr>
            </w:pPr>
          </w:p>
          <w:p w14:paraId="140AD776">
            <w:pPr>
              <w:spacing w:line="295" w:lineRule="auto"/>
              <w:rPr>
                <w:rFonts w:ascii="Arial"/>
                <w:sz w:val="21"/>
              </w:rPr>
            </w:pPr>
          </w:p>
          <w:p w14:paraId="672AEEA7">
            <w:pPr>
              <w:pStyle w:val="7"/>
              <w:spacing w:before="78" w:line="214" w:lineRule="auto"/>
              <w:ind w:left="128"/>
            </w:pPr>
            <w:r>
              <w:rPr>
                <w:spacing w:val="-5"/>
              </w:rPr>
              <w:t>1.3</w:t>
            </w:r>
            <w:r>
              <w:rPr>
                <w:spacing w:val="-49"/>
              </w:rPr>
              <w:t xml:space="preserve"> </w:t>
            </w:r>
            <w:r>
              <w:rPr>
                <w:spacing w:val="-5"/>
              </w:rPr>
              <w:t>教学大纲</w:t>
            </w:r>
          </w:p>
        </w:tc>
        <w:tc>
          <w:tcPr>
            <w:tcW w:w="6476" w:type="dxa"/>
            <w:vAlign w:val="top"/>
          </w:tcPr>
          <w:p w14:paraId="421E467D">
            <w:pPr>
              <w:pStyle w:val="7"/>
              <w:spacing w:before="205" w:line="239" w:lineRule="auto"/>
              <w:ind w:left="116" w:right="97" w:hanging="7"/>
              <w:jc w:val="both"/>
            </w:pPr>
            <w:r>
              <w:rPr>
                <w:spacing w:val="-8"/>
              </w:rPr>
              <w:t>修订完善课程教学大纲，在课程目标（思政目标）、</w:t>
            </w:r>
            <w:r>
              <w:rPr>
                <w:spacing w:val="-9"/>
              </w:rPr>
              <w:t>教学内容</w:t>
            </w:r>
            <w:r>
              <w:t>和课程考核等方面均要系统融入思政元素，并建立相互支撑的映射关系。教学设计应注重思政元素与教学内容的有机融</w:t>
            </w:r>
            <w:r>
              <w:rPr>
                <w:spacing w:val="-1"/>
              </w:rPr>
              <w:t>合，确保思想引领与知识传授、能力培养相统一。</w:t>
            </w:r>
          </w:p>
        </w:tc>
      </w:tr>
      <w:tr w14:paraId="3935BB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  <w:jc w:val="center"/>
        </w:trPr>
        <w:tc>
          <w:tcPr>
            <w:tcW w:w="1485" w:type="dxa"/>
            <w:vMerge w:val="restart"/>
            <w:tcBorders>
              <w:bottom w:val="nil"/>
            </w:tcBorders>
            <w:vAlign w:val="top"/>
          </w:tcPr>
          <w:p w14:paraId="5B1F20A9">
            <w:pPr>
              <w:rPr>
                <w:rFonts w:ascii="Arial"/>
                <w:sz w:val="21"/>
              </w:rPr>
            </w:pPr>
          </w:p>
          <w:p w14:paraId="745F1AEC">
            <w:pPr>
              <w:rPr>
                <w:rFonts w:ascii="Arial"/>
                <w:sz w:val="21"/>
              </w:rPr>
            </w:pPr>
          </w:p>
          <w:p w14:paraId="4C6C981F">
            <w:pPr>
              <w:rPr>
                <w:rFonts w:ascii="Arial"/>
                <w:sz w:val="21"/>
              </w:rPr>
            </w:pPr>
          </w:p>
          <w:p w14:paraId="46F22A42">
            <w:pPr>
              <w:rPr>
                <w:rFonts w:ascii="Arial"/>
                <w:sz w:val="21"/>
              </w:rPr>
            </w:pPr>
          </w:p>
          <w:p w14:paraId="0B3B092A">
            <w:pPr>
              <w:spacing w:line="241" w:lineRule="auto"/>
              <w:rPr>
                <w:rFonts w:ascii="Arial"/>
                <w:sz w:val="21"/>
              </w:rPr>
            </w:pPr>
          </w:p>
          <w:p w14:paraId="72FF3FDC">
            <w:pPr>
              <w:spacing w:line="241" w:lineRule="auto"/>
              <w:rPr>
                <w:rFonts w:ascii="Arial"/>
                <w:sz w:val="21"/>
              </w:rPr>
            </w:pPr>
          </w:p>
          <w:p w14:paraId="04D3A965">
            <w:pPr>
              <w:spacing w:line="241" w:lineRule="auto"/>
              <w:rPr>
                <w:rFonts w:ascii="Arial"/>
                <w:sz w:val="21"/>
              </w:rPr>
            </w:pPr>
          </w:p>
          <w:p w14:paraId="6E7B67FA">
            <w:pPr>
              <w:spacing w:line="241" w:lineRule="auto"/>
              <w:rPr>
                <w:rFonts w:ascii="Arial"/>
                <w:sz w:val="21"/>
              </w:rPr>
            </w:pPr>
          </w:p>
          <w:p w14:paraId="7AD9841F">
            <w:pPr>
              <w:spacing w:line="241" w:lineRule="auto"/>
              <w:rPr>
                <w:rFonts w:ascii="Arial"/>
                <w:sz w:val="21"/>
              </w:rPr>
            </w:pPr>
          </w:p>
          <w:p w14:paraId="07D37453">
            <w:pPr>
              <w:spacing w:line="241" w:lineRule="auto"/>
              <w:rPr>
                <w:rFonts w:ascii="Arial"/>
                <w:sz w:val="21"/>
              </w:rPr>
            </w:pPr>
          </w:p>
          <w:p w14:paraId="2D932B71">
            <w:pPr>
              <w:pStyle w:val="7"/>
              <w:spacing w:before="78"/>
              <w:ind w:left="508" w:right="136" w:hanging="348"/>
            </w:pPr>
            <w:r>
              <w:rPr>
                <w:spacing w:val="-3"/>
              </w:rPr>
              <w:t>2.课程教材</w:t>
            </w:r>
            <w:r>
              <w:rPr>
                <w:spacing w:val="-4"/>
              </w:rPr>
              <w:t>建设</w:t>
            </w:r>
          </w:p>
        </w:tc>
        <w:tc>
          <w:tcPr>
            <w:tcW w:w="1720" w:type="dxa"/>
            <w:vAlign w:val="top"/>
          </w:tcPr>
          <w:p w14:paraId="7A5D8BAC">
            <w:pPr>
              <w:spacing w:line="246" w:lineRule="auto"/>
              <w:rPr>
                <w:rFonts w:ascii="Arial"/>
                <w:sz w:val="21"/>
              </w:rPr>
            </w:pPr>
          </w:p>
          <w:p w14:paraId="64B8CB0B">
            <w:pPr>
              <w:spacing w:line="246" w:lineRule="auto"/>
              <w:rPr>
                <w:rFonts w:ascii="Arial"/>
                <w:sz w:val="21"/>
              </w:rPr>
            </w:pPr>
          </w:p>
          <w:p w14:paraId="4E8E2829">
            <w:pPr>
              <w:pStyle w:val="7"/>
              <w:spacing w:before="78" w:line="216" w:lineRule="auto"/>
              <w:ind w:left="122"/>
            </w:pPr>
            <w:r>
              <w:rPr>
                <w:spacing w:val="-5"/>
              </w:rPr>
              <w:t>2.1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</w:rPr>
              <w:t>通识课程</w:t>
            </w:r>
          </w:p>
        </w:tc>
        <w:tc>
          <w:tcPr>
            <w:tcW w:w="6476" w:type="dxa"/>
            <w:vAlign w:val="top"/>
          </w:tcPr>
          <w:p w14:paraId="5C994EE2">
            <w:pPr>
              <w:pStyle w:val="7"/>
              <w:spacing w:before="260" w:line="239" w:lineRule="auto"/>
              <w:ind w:left="115" w:right="97" w:hanging="4"/>
            </w:pPr>
            <w:r>
              <w:rPr>
                <w:spacing w:val="1"/>
              </w:rPr>
              <w:t>建设一批提高大学生思想道德修养、人文素质</w:t>
            </w:r>
            <w:r>
              <w:t>、科学精神、法治意识、国家安全认知能力的课程及特色体育、美育类课</w:t>
            </w:r>
            <w:r>
              <w:rPr>
                <w:spacing w:val="-1"/>
              </w:rPr>
              <w:t>程，注重在潜移默化中提升大学生思想政治素质。</w:t>
            </w:r>
          </w:p>
        </w:tc>
      </w:tr>
      <w:tr w14:paraId="7A2BF5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1485" w:type="dxa"/>
            <w:vMerge w:val="continue"/>
            <w:tcBorders>
              <w:top w:val="nil"/>
              <w:bottom w:val="nil"/>
            </w:tcBorders>
            <w:vAlign w:val="top"/>
          </w:tcPr>
          <w:p w14:paraId="16BA0767">
            <w:pPr>
              <w:rPr>
                <w:rFonts w:ascii="Arial"/>
                <w:sz w:val="21"/>
              </w:rPr>
            </w:pPr>
          </w:p>
        </w:tc>
        <w:tc>
          <w:tcPr>
            <w:tcW w:w="1720" w:type="dxa"/>
            <w:vAlign w:val="top"/>
          </w:tcPr>
          <w:p w14:paraId="1807FD89">
            <w:pPr>
              <w:spacing w:line="423" w:lineRule="auto"/>
              <w:rPr>
                <w:rFonts w:ascii="Arial"/>
                <w:sz w:val="21"/>
              </w:rPr>
            </w:pPr>
          </w:p>
          <w:p w14:paraId="170C47B1">
            <w:pPr>
              <w:pStyle w:val="7"/>
              <w:spacing w:before="78" w:line="217" w:lineRule="auto"/>
              <w:ind w:left="122"/>
            </w:pPr>
            <w:r>
              <w:rPr>
                <w:spacing w:val="-5"/>
              </w:rPr>
              <w:t>2.2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</w:rPr>
              <w:t>专业课程</w:t>
            </w:r>
          </w:p>
        </w:tc>
        <w:tc>
          <w:tcPr>
            <w:tcW w:w="6476" w:type="dxa"/>
            <w:vAlign w:val="top"/>
          </w:tcPr>
          <w:p w14:paraId="3BA1C968">
            <w:pPr>
              <w:pStyle w:val="7"/>
              <w:spacing w:before="38" w:line="231" w:lineRule="auto"/>
              <w:ind w:left="124" w:right="21" w:hanging="14"/>
              <w:jc w:val="both"/>
            </w:pPr>
            <w:r>
              <w:rPr>
                <w:spacing w:val="1"/>
              </w:rPr>
              <w:t>根据不同学科专业的特色和优势，深度挖掘提炼</w:t>
            </w:r>
            <w:r>
              <w:t>专业知识体</w:t>
            </w:r>
            <w:r>
              <w:rPr>
                <w:spacing w:val="-6"/>
              </w:rPr>
              <w:t>系中所蕴含的思想价值和精神内涵，从课程所涉专业、行业、</w:t>
            </w:r>
            <w:r>
              <w:t>国家、国际、文化、历史等角度，实现思政元素与教学内容</w:t>
            </w:r>
            <w:r>
              <w:rPr>
                <w:spacing w:val="-4"/>
              </w:rPr>
              <w:t>的有机融合。</w:t>
            </w:r>
          </w:p>
        </w:tc>
      </w:tr>
      <w:tr w14:paraId="725F09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  <w:jc w:val="center"/>
        </w:trPr>
        <w:tc>
          <w:tcPr>
            <w:tcW w:w="1485" w:type="dxa"/>
            <w:vMerge w:val="continue"/>
            <w:tcBorders>
              <w:top w:val="nil"/>
              <w:bottom w:val="nil"/>
            </w:tcBorders>
            <w:vAlign w:val="top"/>
          </w:tcPr>
          <w:p w14:paraId="63F9D59C">
            <w:pPr>
              <w:rPr>
                <w:rFonts w:ascii="Arial"/>
                <w:sz w:val="21"/>
              </w:rPr>
            </w:pPr>
          </w:p>
        </w:tc>
        <w:tc>
          <w:tcPr>
            <w:tcW w:w="1720" w:type="dxa"/>
            <w:vAlign w:val="top"/>
          </w:tcPr>
          <w:p w14:paraId="6B5730CA">
            <w:pPr>
              <w:spacing w:line="289" w:lineRule="auto"/>
              <w:rPr>
                <w:rFonts w:ascii="Arial"/>
                <w:sz w:val="21"/>
              </w:rPr>
            </w:pPr>
          </w:p>
          <w:p w14:paraId="48FEF52C">
            <w:pPr>
              <w:spacing w:line="289" w:lineRule="auto"/>
              <w:rPr>
                <w:rFonts w:ascii="Arial"/>
                <w:sz w:val="21"/>
              </w:rPr>
            </w:pPr>
          </w:p>
          <w:p w14:paraId="11141FEE">
            <w:pPr>
              <w:pStyle w:val="7"/>
              <w:spacing w:before="78" w:line="216" w:lineRule="auto"/>
              <w:ind w:left="122"/>
            </w:pPr>
            <w:r>
              <w:rPr>
                <w:spacing w:val="-6"/>
              </w:rPr>
              <w:t>2.3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实践课程</w:t>
            </w:r>
          </w:p>
        </w:tc>
        <w:tc>
          <w:tcPr>
            <w:tcW w:w="6476" w:type="dxa"/>
            <w:vAlign w:val="top"/>
          </w:tcPr>
          <w:p w14:paraId="6CD66DD3">
            <w:pPr>
              <w:spacing w:line="267" w:lineRule="auto"/>
              <w:rPr>
                <w:rFonts w:ascii="Arial"/>
                <w:sz w:val="21"/>
              </w:rPr>
            </w:pPr>
          </w:p>
          <w:p w14:paraId="7A676800">
            <w:pPr>
              <w:pStyle w:val="7"/>
              <w:spacing w:before="78"/>
              <w:ind w:left="120" w:right="97" w:hanging="4"/>
              <w:jc w:val="both"/>
            </w:pPr>
            <w:r>
              <w:t>将课程思政元素融入实验、实习、实训、创新创业、社会实</w:t>
            </w:r>
            <w:r>
              <w:rPr>
                <w:spacing w:val="-2"/>
              </w:rPr>
              <w:t>践等实践类课程，了解国情民意，锤炼意志品质，注重知行</w:t>
            </w:r>
            <w:r>
              <w:rPr>
                <w:spacing w:val="-1"/>
              </w:rPr>
              <w:t>统一，增强创新精神、创造意识和创业能力。</w:t>
            </w:r>
          </w:p>
        </w:tc>
      </w:tr>
      <w:tr w14:paraId="3E20F4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  <w:jc w:val="center"/>
        </w:trPr>
        <w:tc>
          <w:tcPr>
            <w:tcW w:w="1485" w:type="dxa"/>
            <w:vMerge w:val="continue"/>
            <w:tcBorders>
              <w:top w:val="nil"/>
            </w:tcBorders>
            <w:vAlign w:val="top"/>
          </w:tcPr>
          <w:p w14:paraId="0594FAFD">
            <w:pPr>
              <w:rPr>
                <w:rFonts w:ascii="Arial"/>
                <w:sz w:val="21"/>
              </w:rPr>
            </w:pPr>
          </w:p>
        </w:tc>
        <w:tc>
          <w:tcPr>
            <w:tcW w:w="1720" w:type="dxa"/>
            <w:vAlign w:val="top"/>
          </w:tcPr>
          <w:p w14:paraId="5D8C40A2">
            <w:pPr>
              <w:spacing w:line="471" w:lineRule="auto"/>
              <w:rPr>
                <w:rFonts w:ascii="Arial"/>
                <w:sz w:val="21"/>
              </w:rPr>
            </w:pPr>
          </w:p>
          <w:p w14:paraId="6087308A">
            <w:pPr>
              <w:pStyle w:val="7"/>
              <w:spacing w:before="78" w:line="214" w:lineRule="auto"/>
              <w:ind w:left="122"/>
            </w:pPr>
            <w:r>
              <w:rPr>
                <w:spacing w:val="-4"/>
              </w:rPr>
              <w:t>2.4</w:t>
            </w:r>
            <w:r>
              <w:rPr>
                <w:spacing w:val="-50"/>
              </w:rPr>
              <w:t xml:space="preserve"> </w:t>
            </w:r>
            <w:r>
              <w:rPr>
                <w:spacing w:val="-4"/>
              </w:rPr>
              <w:t>教材教案</w:t>
            </w:r>
          </w:p>
        </w:tc>
        <w:tc>
          <w:tcPr>
            <w:tcW w:w="6476" w:type="dxa"/>
            <w:vAlign w:val="top"/>
          </w:tcPr>
          <w:p w14:paraId="128796F8">
            <w:pPr>
              <w:pStyle w:val="7"/>
              <w:spacing w:before="243" w:line="238" w:lineRule="auto"/>
              <w:ind w:left="109" w:right="97" w:firstLine="11"/>
              <w:jc w:val="both"/>
            </w:pPr>
            <w:r>
              <w:t>专业教材（讲义）建设成效显著，突出育人导向，有效支撑</w:t>
            </w:r>
            <w:r>
              <w:rPr>
                <w:spacing w:val="1"/>
              </w:rPr>
              <w:t>思政育人目标；教案设计科学合理，系统体现课程</w:t>
            </w:r>
            <w:r>
              <w:t>思政全方位、全过程融入课程教学的实施路径。</w:t>
            </w:r>
          </w:p>
        </w:tc>
      </w:tr>
    </w:tbl>
    <w:p w14:paraId="66D452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